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0A91F27" w:rsidR="002C1220" w:rsidRPr="00484DBF" w:rsidRDefault="005F10C3" w:rsidP="6E08E4C9">
      <w:pPr>
        <w:pStyle w:val="Header"/>
        <w:tabs>
          <w:tab w:val="right" w:pos="9639"/>
        </w:tabs>
        <w:jc w:val="both"/>
        <w:rPr>
          <w:rFonts w:cs="Arial"/>
          <w:i/>
          <w:iCs/>
          <w:noProof w:val="0"/>
          <w:sz w:val="24"/>
          <w:szCs w:val="24"/>
        </w:rPr>
      </w:pPr>
      <w:bookmarkStart w:id="0" w:name="_Hlk519580081"/>
      <w:bookmarkStart w:id="1" w:name="_Hlk35868692"/>
      <w:bookmarkStart w:id="2" w:name="_GoBack"/>
      <w:bookmarkEnd w:id="2"/>
      <w:r w:rsidRPr="6E08E4C9">
        <w:rPr>
          <w:rFonts w:cs="Arial"/>
          <w:noProof w:val="0"/>
          <w:sz w:val="24"/>
          <w:szCs w:val="24"/>
        </w:rPr>
        <w:t>3GPP TSG-RAN WG3 Meeting #10</w:t>
      </w:r>
      <w:r w:rsidR="000E2F25">
        <w:rPr>
          <w:rFonts w:cs="Arial"/>
          <w:noProof w:val="0"/>
          <w:sz w:val="24"/>
          <w:szCs w:val="24"/>
        </w:rPr>
        <w:t>8</w:t>
      </w:r>
      <w:r w:rsidR="00044AC7" w:rsidRPr="6E08E4C9">
        <w:rPr>
          <w:rFonts w:cs="Arial"/>
          <w:noProof w:val="0"/>
          <w:sz w:val="24"/>
          <w:szCs w:val="24"/>
        </w:rPr>
        <w:t>-e</w:t>
      </w:r>
      <w:r w:rsidR="002C1220" w:rsidRPr="00484DBF">
        <w:rPr>
          <w:rFonts w:cs="Arial"/>
          <w:bCs/>
          <w:noProof w:val="0"/>
          <w:sz w:val="24"/>
          <w:szCs w:val="24"/>
        </w:rPr>
        <w:tab/>
      </w:r>
      <w:r w:rsidR="002C1220" w:rsidRPr="6E08E4C9">
        <w:rPr>
          <w:rFonts w:cs="Arial"/>
          <w:noProof w:val="0"/>
          <w:sz w:val="24"/>
          <w:szCs w:val="24"/>
        </w:rPr>
        <w:t>R3-</w:t>
      </w:r>
      <w:r w:rsidR="00FA4A45" w:rsidRPr="6E08E4C9">
        <w:rPr>
          <w:rFonts w:cs="Arial"/>
          <w:noProof w:val="0"/>
          <w:sz w:val="24"/>
          <w:szCs w:val="24"/>
        </w:rPr>
        <w:t>20</w:t>
      </w:r>
      <w:r w:rsidR="00CF304A">
        <w:rPr>
          <w:rFonts w:cs="Arial"/>
          <w:noProof w:val="0"/>
          <w:sz w:val="24"/>
          <w:szCs w:val="24"/>
        </w:rPr>
        <w:t>3270</w:t>
      </w:r>
    </w:p>
    <w:bookmarkEnd w:id="0"/>
    <w:p w14:paraId="5669B020" w14:textId="17DFE4F2" w:rsidR="004C654E" w:rsidRPr="00484DBF" w:rsidRDefault="00044AC7" w:rsidP="6E08E4C9">
      <w:pPr>
        <w:pStyle w:val="Header"/>
        <w:tabs>
          <w:tab w:val="left" w:pos="2410"/>
        </w:tabs>
        <w:rPr>
          <w:rFonts w:eastAsia="MS Mincho" w:cs="Arial"/>
          <w:noProof w:val="0"/>
          <w:sz w:val="24"/>
          <w:szCs w:val="24"/>
        </w:rPr>
      </w:pPr>
      <w:r w:rsidRPr="6E08E4C9">
        <w:rPr>
          <w:rFonts w:eastAsia="MS Mincho" w:cs="Arial"/>
          <w:noProof w:val="0"/>
          <w:sz w:val="24"/>
          <w:szCs w:val="24"/>
        </w:rPr>
        <w:t>E-meeting</w:t>
      </w:r>
      <w:r w:rsidR="00FC5FE8" w:rsidRPr="6E08E4C9">
        <w:rPr>
          <w:rFonts w:eastAsia="MS Mincho" w:cs="Arial"/>
          <w:noProof w:val="0"/>
          <w:sz w:val="24"/>
          <w:szCs w:val="24"/>
        </w:rPr>
        <w:t xml:space="preserve">, </w:t>
      </w:r>
      <w:r w:rsidR="000E2F25">
        <w:rPr>
          <w:rFonts w:eastAsia="MS Mincho" w:cs="Arial"/>
          <w:noProof w:val="0"/>
          <w:sz w:val="24"/>
          <w:szCs w:val="24"/>
        </w:rPr>
        <w:t>1</w:t>
      </w:r>
      <w:r w:rsidR="00FA4A45" w:rsidRPr="6E08E4C9">
        <w:rPr>
          <w:rFonts w:eastAsia="MS Mincho" w:cs="Arial"/>
          <w:noProof w:val="0"/>
          <w:sz w:val="24"/>
          <w:szCs w:val="24"/>
        </w:rPr>
        <w:t>-</w:t>
      </w:r>
      <w:r w:rsidR="000E2F25">
        <w:rPr>
          <w:rFonts w:eastAsia="MS Mincho" w:cs="Arial"/>
          <w:noProof w:val="0"/>
          <w:sz w:val="24"/>
          <w:szCs w:val="24"/>
        </w:rPr>
        <w:t>12</w:t>
      </w:r>
      <w:r w:rsidR="00FC5FE8" w:rsidRPr="6E08E4C9">
        <w:rPr>
          <w:rFonts w:eastAsia="MS Mincho" w:cs="Arial"/>
          <w:noProof w:val="0"/>
          <w:sz w:val="24"/>
          <w:szCs w:val="24"/>
        </w:rPr>
        <w:t xml:space="preserve"> </w:t>
      </w:r>
      <w:r w:rsidR="000E2F25">
        <w:rPr>
          <w:rFonts w:eastAsia="MS Mincho" w:cs="Arial"/>
          <w:noProof w:val="0"/>
          <w:sz w:val="24"/>
          <w:szCs w:val="24"/>
        </w:rPr>
        <w:t>Jun</w:t>
      </w:r>
      <w:r w:rsidR="005F10C3" w:rsidRPr="6E08E4C9">
        <w:rPr>
          <w:rFonts w:eastAsia="MS Mincho" w:cs="Arial"/>
          <w:noProof w:val="0"/>
          <w:sz w:val="24"/>
          <w:szCs w:val="24"/>
        </w:rPr>
        <w:t xml:space="preserve"> 20</w:t>
      </w:r>
      <w:r w:rsidR="00FA4A45" w:rsidRPr="6E08E4C9">
        <w:rPr>
          <w:rFonts w:eastAsia="MS Mincho" w:cs="Arial"/>
          <w:noProof w:val="0"/>
          <w:sz w:val="24"/>
          <w:szCs w:val="24"/>
        </w:rPr>
        <w:t>20</w:t>
      </w:r>
    </w:p>
    <w:p w14:paraId="2F96B0BD" w14:textId="77777777" w:rsidR="002F2360" w:rsidRPr="00813CDA" w:rsidRDefault="002F2360" w:rsidP="6E08E4C9">
      <w:pPr>
        <w:pStyle w:val="Header"/>
        <w:tabs>
          <w:tab w:val="left" w:pos="2410"/>
        </w:tabs>
        <w:rPr>
          <w:noProof w:val="0"/>
          <w:sz w:val="24"/>
          <w:szCs w:val="24"/>
        </w:rPr>
      </w:pPr>
    </w:p>
    <w:p w14:paraId="430718D4" w14:textId="6714CFA3" w:rsidR="002F2360" w:rsidRPr="00484DBF" w:rsidRDefault="002F2360" w:rsidP="6E08E4C9">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FE7C6C">
        <w:rPr>
          <w:rFonts w:cs="Arial"/>
          <w:b/>
          <w:bCs/>
          <w:sz w:val="24"/>
          <w:szCs w:val="24"/>
        </w:rPr>
        <w:t>15.3.1.1</w:t>
      </w:r>
    </w:p>
    <w:p w14:paraId="02505283" w14:textId="77777777" w:rsidR="002F2360" w:rsidRPr="00484DBF" w:rsidRDefault="002F2360" w:rsidP="6E08E4C9">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5E7A28BB" w14:textId="7A88B046" w:rsidR="00CD4C7B" w:rsidRPr="00484DBF" w:rsidRDefault="00CD4C7B" w:rsidP="6E08E4C9">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163D66">
        <w:rPr>
          <w:rFonts w:ascii="Arial" w:hAnsi="Arial" w:cs="Arial"/>
          <w:b/>
          <w:bCs/>
          <w:sz w:val="24"/>
          <w:szCs w:val="24"/>
        </w:rPr>
        <w:t>Avoiding simultaneous CHO and CPC</w:t>
      </w:r>
    </w:p>
    <w:p w14:paraId="0F79702C" w14:textId="0AE6489D" w:rsidR="00CD4C7B" w:rsidRDefault="00CD4C7B" w:rsidP="6E08E4C9">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F7C60B7" w14:textId="77777777" w:rsidR="00AB30AE" w:rsidRPr="00484DBF" w:rsidRDefault="00AB30AE" w:rsidP="6E08E4C9">
      <w:pPr>
        <w:tabs>
          <w:tab w:val="left" w:pos="1985"/>
          <w:tab w:val="left" w:pos="2410"/>
        </w:tabs>
        <w:rPr>
          <w:rFonts w:ascii="Arial" w:hAnsi="Arial" w:cs="Arial"/>
          <w:sz w:val="24"/>
          <w:szCs w:val="24"/>
        </w:rPr>
      </w:pPr>
    </w:p>
    <w:p w14:paraId="40D0F11F" w14:textId="3CF2C848" w:rsidR="00CD4C7B" w:rsidRDefault="00CD4C7B" w:rsidP="6E08E4C9">
      <w:pPr>
        <w:pStyle w:val="Heading1"/>
        <w:tabs>
          <w:tab w:val="left" w:pos="2410"/>
        </w:tabs>
      </w:pPr>
      <w:r w:rsidRPr="6E08E4C9">
        <w:t>1</w:t>
      </w:r>
      <w:r w:rsidRPr="00B704B9">
        <w:tab/>
      </w:r>
      <w:r w:rsidR="0056573F" w:rsidRPr="6E08E4C9">
        <w:t>Introduction</w:t>
      </w:r>
    </w:p>
    <w:p w14:paraId="4CAD8B08" w14:textId="2E5C64E6" w:rsidR="005E3D0F" w:rsidRDefault="3B60F0FB" w:rsidP="6E08E4C9">
      <w:bookmarkStart w:id="3" w:name="_Toc474247438"/>
      <w:r w:rsidRPr="6E08E4C9">
        <w:t xml:space="preserve">At RAN3 #107-bis, </w:t>
      </w:r>
      <w:proofErr w:type="gramStart"/>
      <w:r w:rsidRPr="6E08E4C9">
        <w:t>an</w:t>
      </w:r>
      <w:proofErr w:type="gramEnd"/>
      <w:r w:rsidRPr="6E08E4C9">
        <w:t xml:space="preserve"> LS was received from RAN2 concerning coordination of CHO and CPC (Conditional </w:t>
      </w:r>
      <w:proofErr w:type="spellStart"/>
      <w:r w:rsidRPr="6E08E4C9">
        <w:t>PSCell</w:t>
      </w:r>
      <w:proofErr w:type="spellEnd"/>
      <w:r w:rsidRPr="6E08E4C9">
        <w:t xml:space="preserve"> Change) [1]. </w:t>
      </w:r>
      <w:r w:rsidR="1B95A526" w:rsidRPr="6E08E4C9">
        <w:t>The LS informs RAN3 about following agreement:</w:t>
      </w:r>
    </w:p>
    <w:p w14:paraId="0E3F6054" w14:textId="5623A94F" w:rsidR="1B95A526" w:rsidRDefault="1B95A526" w:rsidP="003B7A14">
      <w:pPr>
        <w:pBdr>
          <w:top w:val="single" w:sz="4" w:space="1" w:color="auto"/>
          <w:left w:val="single" w:sz="4" w:space="4" w:color="auto"/>
          <w:bottom w:val="single" w:sz="4" w:space="1" w:color="auto"/>
          <w:right w:val="single" w:sz="4" w:space="4" w:color="auto"/>
        </w:pBdr>
        <w:ind w:left="284" w:right="285"/>
      </w:pPr>
      <w:r w:rsidRPr="6E08E4C9">
        <w:t xml:space="preserve">Support of CHO and CPC-intra-SN configuration simultaneously is not considered in Rel-16. Leave it up to the network solution to ensure there is no simultaneous CHO and CPC configuration. </w:t>
      </w:r>
    </w:p>
    <w:p w14:paraId="47BFFF0F" w14:textId="25B5AADA" w:rsidR="1B95A526" w:rsidRDefault="1B95A526" w:rsidP="003B7A14">
      <w:pPr>
        <w:pBdr>
          <w:top w:val="single" w:sz="4" w:space="1" w:color="auto"/>
          <w:left w:val="single" w:sz="4" w:space="4" w:color="auto"/>
          <w:bottom w:val="single" w:sz="4" w:space="1" w:color="auto"/>
          <w:right w:val="single" w:sz="4" w:space="4" w:color="auto"/>
        </w:pBdr>
        <w:ind w:left="284" w:right="285"/>
      </w:pPr>
      <w:r w:rsidRPr="6E08E4C9">
        <w:t>Up to RAN3 if/how to ensure no simultaneous CHO+CPC (e.g. OAM, etc.).</w:t>
      </w:r>
    </w:p>
    <w:p w14:paraId="6DD6961A" w14:textId="157CBD97" w:rsidR="000E2F25" w:rsidRDefault="000E2F25" w:rsidP="6E08E4C9">
      <w:r>
        <w:t>At the meeting, RAN3 agreed to observe the limitations agreed in RAN2, but the actual method to achieve this has not been decided. In this paper, we remind the motivation for the signalling-based solution.</w:t>
      </w:r>
    </w:p>
    <w:p w14:paraId="309917E7" w14:textId="77777777" w:rsidR="00051152" w:rsidRPr="005F10C3" w:rsidRDefault="00BE5235" w:rsidP="6E08E4C9">
      <w:pPr>
        <w:pStyle w:val="Heading1"/>
        <w:tabs>
          <w:tab w:val="left" w:pos="2410"/>
        </w:tabs>
      </w:pPr>
      <w:r w:rsidRPr="6E08E4C9">
        <w:t>2</w:t>
      </w:r>
      <w:r w:rsidR="00051152" w:rsidRPr="005F10C3">
        <w:tab/>
      </w:r>
      <w:r w:rsidRPr="6E08E4C9">
        <w:t>Discussion</w:t>
      </w:r>
      <w:bookmarkEnd w:id="3"/>
    </w:p>
    <w:bookmarkEnd w:id="1"/>
    <w:p w14:paraId="2FE60BC9" w14:textId="00979EBC" w:rsidR="000E2F25" w:rsidRDefault="000E2F25" w:rsidP="00661464">
      <w:pPr>
        <w:pStyle w:val="Heading2"/>
      </w:pPr>
      <w:r>
        <w:t>2.1 OAM vs signalling-based solution</w:t>
      </w:r>
    </w:p>
    <w:p w14:paraId="4D4947DB" w14:textId="65194ECB" w:rsidR="000E2F25" w:rsidRDefault="000E2F25" w:rsidP="000E2F25">
      <w:r>
        <w:t>OAM-based</w:t>
      </w:r>
      <w:r w:rsidRPr="6E08E4C9">
        <w:t xml:space="preserve"> method assumes the OAM configures all MNs and all SNs in a given region concerning CHO and CPC. If OAM allows for CHO, SNs are configured to never initiate CPC. Similarly, if all MNs are configured to never initiate CHO, the SNs are configured that CPC may be used when needed.</w:t>
      </w:r>
    </w:p>
    <w:p w14:paraId="0F568CF4" w14:textId="77777777" w:rsidR="000E2F25" w:rsidRDefault="000E2F25" w:rsidP="000E2F25">
      <w:r w:rsidRPr="6E08E4C9">
        <w:t xml:space="preserve">Such approach has sure benefits: it has no impact on RAN3 and, collaterally, it enables avoiding the trouble of combining the CHO and DC totally. Simply, when DC is allowed, the MNs are configured not to use CHO. However, this simplicity comes at the cost of extreme </w:t>
      </w:r>
      <w:proofErr w:type="spellStart"/>
      <w:r w:rsidRPr="6E08E4C9">
        <w:t>inflexiblity</w:t>
      </w:r>
      <w:proofErr w:type="spellEnd"/>
      <w:r w:rsidRPr="6E08E4C9">
        <w:t>: the policy is set once for all stations in given region and all UEs, irrespectively from their situation. If CPC is to be allowed, then only UEs that are not configured with DC may enjoy benefits of CHO.</w:t>
      </w:r>
    </w:p>
    <w:p w14:paraId="066A31CE" w14:textId="34CD01E3" w:rsidR="000E2F25" w:rsidRDefault="000E2F25" w:rsidP="000E2F25">
      <w:pPr>
        <w:spacing w:line="259" w:lineRule="auto"/>
        <w:rPr>
          <w:b/>
          <w:bCs/>
        </w:rPr>
      </w:pPr>
      <w:r w:rsidRPr="6E08E4C9">
        <w:rPr>
          <w:b/>
          <w:bCs/>
        </w:rPr>
        <w:t xml:space="preserve">Observation </w:t>
      </w:r>
      <w:r>
        <w:rPr>
          <w:b/>
          <w:bCs/>
        </w:rPr>
        <w:t>1</w:t>
      </w:r>
      <w:r w:rsidR="004864A9">
        <w:rPr>
          <w:b/>
          <w:bCs/>
        </w:rPr>
        <w:t>-1</w:t>
      </w:r>
      <w:r w:rsidRPr="6E08E4C9">
        <w:rPr>
          <w:b/>
          <w:bCs/>
        </w:rPr>
        <w:t xml:space="preserve">: OAM-based policy setting is very rigid and does not allow for differentiation of the </w:t>
      </w:r>
      <w:r>
        <w:rPr>
          <w:b/>
          <w:bCs/>
        </w:rPr>
        <w:t xml:space="preserve">CHO </w:t>
      </w:r>
      <w:r w:rsidRPr="6E08E4C9">
        <w:rPr>
          <w:b/>
          <w:bCs/>
        </w:rPr>
        <w:t>policy based on the service or mobility profile.</w:t>
      </w:r>
    </w:p>
    <w:p w14:paraId="2F558DEC" w14:textId="750DC1DF" w:rsidR="000E2F25" w:rsidRDefault="000E2F25" w:rsidP="000E2F25">
      <w:r w:rsidRPr="6E08E4C9">
        <w:t xml:space="preserve">The core principle of </w:t>
      </w:r>
      <w:r>
        <w:t>a signalling-based</w:t>
      </w:r>
      <w:r w:rsidRPr="6E08E4C9">
        <w:t xml:space="preserve"> solution is that the MN informs the SN about its policy for given UE. The SN, when informed that the MN plans a CHO for given UE and therefore the SN shall not start any CPC and possibly remove any existing CPC configurations. This method has impact on RAN3 signalling but allows differentiating of the policy depending on the UE (service or mobility profile). It also allows, in the most extreme scenario, the MN to change the policy “on the fly”, e.g. request disabling CPC only when it is about to configure CHO and then enable CPC when CHO is removed. </w:t>
      </w:r>
    </w:p>
    <w:p w14:paraId="00326C88" w14:textId="7D97F313" w:rsidR="000E2F25" w:rsidRDefault="000E2F25" w:rsidP="000E2F25">
      <w:pPr>
        <w:spacing w:line="259" w:lineRule="auto"/>
        <w:rPr>
          <w:b/>
          <w:bCs/>
        </w:rPr>
      </w:pPr>
      <w:r w:rsidRPr="6E08E4C9">
        <w:rPr>
          <w:b/>
          <w:bCs/>
        </w:rPr>
        <w:t xml:space="preserve">Observation </w:t>
      </w:r>
      <w:r w:rsidR="004864A9">
        <w:rPr>
          <w:b/>
          <w:bCs/>
        </w:rPr>
        <w:t>1-</w:t>
      </w:r>
      <w:r>
        <w:rPr>
          <w:b/>
          <w:bCs/>
        </w:rPr>
        <w:t>2</w:t>
      </w:r>
      <w:r w:rsidRPr="6E08E4C9">
        <w:rPr>
          <w:b/>
          <w:bCs/>
        </w:rPr>
        <w:t>: Signalling-based policy setting allows the MN to differentiate the policy depending on the service or mobility profile of each UE, if needed, while the global setting is possible too.</w:t>
      </w:r>
    </w:p>
    <w:p w14:paraId="53B13909" w14:textId="20A6F40D" w:rsidR="000E2F25" w:rsidRPr="000E2F25" w:rsidRDefault="000E2F25" w:rsidP="000E2F25">
      <w:pPr>
        <w:rPr>
          <w:b/>
        </w:rPr>
      </w:pPr>
      <w:r w:rsidRPr="000E2F25">
        <w:rPr>
          <w:b/>
        </w:rPr>
        <w:t>Proposal 1: RAN3 shall work on signalling-based methods to avoid parallel configuration of CHO and CPC.</w:t>
      </w:r>
    </w:p>
    <w:p w14:paraId="02A58A58" w14:textId="178961FD" w:rsidR="00F21092" w:rsidRDefault="00F21092" w:rsidP="00661464">
      <w:pPr>
        <w:pStyle w:val="Heading2"/>
      </w:pPr>
      <w:r>
        <w:lastRenderedPageBreak/>
        <w:t>2.2</w:t>
      </w:r>
      <w:r>
        <w:tab/>
      </w:r>
      <w:r w:rsidR="000E2F25">
        <w:t>Signalling-based methods</w:t>
      </w:r>
    </w:p>
    <w:p w14:paraId="3DF4F5FE" w14:textId="295FBB9A" w:rsidR="5D92CA84" w:rsidRDefault="5D92CA84" w:rsidP="000E2F25">
      <w:r w:rsidRPr="6E08E4C9">
        <w:t>The signalling may have t</w:t>
      </w:r>
      <w:r w:rsidR="00BA663C">
        <w:t>hree</w:t>
      </w:r>
      <w:r w:rsidRPr="6E08E4C9">
        <w:t xml:space="preserve"> forms:</w:t>
      </w:r>
    </w:p>
    <w:p w14:paraId="76FEF473" w14:textId="1F4E546C" w:rsidR="07E37CCE" w:rsidRPr="00ED2DF0" w:rsidRDefault="00BA663C" w:rsidP="6E08E4C9">
      <w:pPr>
        <w:rPr>
          <w:sz w:val="18"/>
          <w:szCs w:val="18"/>
        </w:rPr>
      </w:pPr>
      <w:r>
        <w:rPr>
          <w:rFonts w:eastAsia="Times New Roman"/>
          <w:u w:val="single"/>
        </w:rPr>
        <w:t xml:space="preserve">Solution 1: </w:t>
      </w:r>
      <w:r w:rsidR="07E37CCE" w:rsidRPr="00ED2DF0">
        <w:rPr>
          <w:rFonts w:eastAsia="Times New Roman"/>
          <w:u w:val="single"/>
        </w:rPr>
        <w:t>Information about CHO policy from the MN (during the DC operation)</w:t>
      </w:r>
      <w:r w:rsidR="07E37CCE" w:rsidRPr="00ED2DF0">
        <w:rPr>
          <w:rFonts w:eastAsia="Times New Roman"/>
        </w:rPr>
        <w:t xml:space="preserve"> </w:t>
      </w:r>
    </w:p>
    <w:p w14:paraId="4B654FD4" w14:textId="10A72C2C" w:rsidR="07E37CCE" w:rsidRPr="00ED2DF0" w:rsidRDefault="07E37CCE" w:rsidP="6E08E4C9">
      <w:pPr>
        <w:rPr>
          <w:sz w:val="18"/>
          <w:szCs w:val="18"/>
        </w:rPr>
      </w:pPr>
      <w:r w:rsidRPr="00ED2DF0">
        <w:rPr>
          <w:rFonts w:eastAsia="Times New Roman"/>
        </w:rPr>
        <w:t xml:space="preserve">In this form, the MN informs the SN about the CHO policy for this UE at the start of the DC operation, in the Addition procedure (a new flag indicating e.g. that CPC is allowed is needed). The policy may then be changed over time using the MN-initiated Modification procedure (here, the new flag must have two values: “CPC allowed” and “CPC not allowed”). This setup allows the MN to assign a per-UE static policy (e.g. to disable permanently the CPC for UEs for which CHO is possible), as well as disable CPC only when CHO is to be started (i.e. to allow the use of CPC at the Addition, but then to disable it using the MN-initiated Modification procedure when the CHO is about to be configured). </w:t>
      </w:r>
    </w:p>
    <w:p w14:paraId="7B5111C6" w14:textId="1E3C03B2" w:rsidR="00BA663C" w:rsidRDefault="00BA663C" w:rsidP="00BA663C">
      <w:pPr>
        <w:spacing w:line="259" w:lineRule="auto"/>
        <w:rPr>
          <w:b/>
          <w:bCs/>
        </w:rPr>
      </w:pPr>
      <w:r w:rsidRPr="6E08E4C9">
        <w:rPr>
          <w:b/>
          <w:bCs/>
        </w:rPr>
        <w:t xml:space="preserve">Observation </w:t>
      </w:r>
      <w:r w:rsidR="004864A9">
        <w:rPr>
          <w:b/>
          <w:bCs/>
        </w:rPr>
        <w:t>2-1</w:t>
      </w:r>
      <w:r w:rsidRPr="6E08E4C9">
        <w:rPr>
          <w:b/>
          <w:bCs/>
        </w:rPr>
        <w:t xml:space="preserve">: </w:t>
      </w:r>
      <w:r w:rsidR="00B85A6B">
        <w:rPr>
          <w:b/>
          <w:bCs/>
        </w:rPr>
        <w:t xml:space="preserve">Information from the MN about the current policy (CPC allowed or not allowed) enables both, static </w:t>
      </w:r>
      <w:r w:rsidR="002A0A25">
        <w:rPr>
          <w:b/>
          <w:bCs/>
        </w:rPr>
        <w:t xml:space="preserve">limitation (like with OAM) </w:t>
      </w:r>
      <w:r w:rsidR="00E8630C">
        <w:rPr>
          <w:b/>
          <w:bCs/>
        </w:rPr>
        <w:t>or, if desired so,</w:t>
      </w:r>
      <w:r w:rsidR="002A0A25">
        <w:rPr>
          <w:b/>
          <w:bCs/>
        </w:rPr>
        <w:t xml:space="preserve"> more dynamic blocking of CPC when CHO is about to be started.</w:t>
      </w:r>
    </w:p>
    <w:p w14:paraId="5109AF1A" w14:textId="77777777" w:rsidR="00BA663C" w:rsidRPr="00ED2DF0" w:rsidRDefault="00BA663C" w:rsidP="00BA663C">
      <w:pPr>
        <w:rPr>
          <w:sz w:val="18"/>
          <w:szCs w:val="18"/>
        </w:rPr>
      </w:pPr>
      <w:r>
        <w:rPr>
          <w:rFonts w:eastAsia="Times New Roman"/>
          <w:u w:val="single"/>
        </w:rPr>
        <w:t xml:space="preserve">Solution 2: </w:t>
      </w:r>
      <w:r w:rsidRPr="00ED2DF0">
        <w:rPr>
          <w:rFonts w:eastAsia="Times New Roman"/>
          <w:u w:val="single"/>
        </w:rPr>
        <w:t>Information about just started CHO</w:t>
      </w:r>
      <w:r w:rsidRPr="00ED2DF0">
        <w:rPr>
          <w:rFonts w:eastAsia="Times New Roman"/>
        </w:rPr>
        <w:t xml:space="preserve"> </w:t>
      </w:r>
    </w:p>
    <w:p w14:paraId="7B8F4C5D" w14:textId="77777777" w:rsidR="00BA663C" w:rsidRPr="00ED2DF0" w:rsidRDefault="00BA663C" w:rsidP="00BA663C">
      <w:pPr>
        <w:rPr>
          <w:sz w:val="18"/>
          <w:szCs w:val="18"/>
        </w:rPr>
      </w:pPr>
      <w:r w:rsidRPr="00ED2DF0">
        <w:rPr>
          <w:rFonts w:eastAsia="Times New Roman"/>
        </w:rPr>
        <w:t>In this approach, the SN receives the information about the just started CHO in the Addition message from the target node. At this moment, it must remove and CPC configuration and avoid configuring a new CPC until the source MN releases the connection. This is also a very simple method, where only the Addition procedure must be amended with a single-value flag (e.g. “CHO started”). The drawback is that it is not possible to apply a global policy for a UE.</w:t>
      </w:r>
    </w:p>
    <w:p w14:paraId="12FA5D55" w14:textId="7922D5C7" w:rsidR="002A0A25" w:rsidRDefault="002A0A25" w:rsidP="002A0A25">
      <w:pPr>
        <w:spacing w:line="259" w:lineRule="auto"/>
        <w:rPr>
          <w:b/>
          <w:bCs/>
        </w:rPr>
      </w:pPr>
      <w:r w:rsidRPr="6E08E4C9">
        <w:rPr>
          <w:b/>
          <w:bCs/>
        </w:rPr>
        <w:t xml:space="preserve">Observation </w:t>
      </w:r>
      <w:r>
        <w:rPr>
          <w:b/>
          <w:bCs/>
        </w:rPr>
        <w:t>2-2</w:t>
      </w:r>
      <w:r w:rsidRPr="6E08E4C9">
        <w:rPr>
          <w:b/>
          <w:bCs/>
        </w:rPr>
        <w:t xml:space="preserve">: </w:t>
      </w:r>
      <w:r>
        <w:rPr>
          <w:b/>
          <w:bCs/>
        </w:rPr>
        <w:t>Information from the target MN that CHO has just been configured for the UE allows for flexible and fast indication (no extra signalling needed!).</w:t>
      </w:r>
    </w:p>
    <w:p w14:paraId="063C9CA6" w14:textId="42F3AE7E" w:rsidR="00BA663C" w:rsidRPr="00ED2DF0" w:rsidRDefault="00BA663C" w:rsidP="00BA663C">
      <w:pPr>
        <w:rPr>
          <w:sz w:val="18"/>
          <w:szCs w:val="18"/>
        </w:rPr>
      </w:pPr>
      <w:r>
        <w:rPr>
          <w:rFonts w:eastAsia="Times New Roman"/>
          <w:u w:val="single"/>
        </w:rPr>
        <w:t>Solution 3: Request from the SN for the start of the CPC</w:t>
      </w:r>
    </w:p>
    <w:p w14:paraId="51B66153" w14:textId="0AF999E1" w:rsidR="002A0A25" w:rsidRDefault="002A0A25" w:rsidP="000E2F25">
      <w:r>
        <w:t xml:space="preserve">In this approach, the SN informs the MN about the planned CPC and waits with CPC for the MN’s permission. The core assumption behind is that CPC is a rare event and thus it is not worth to force the MN to consider CPC when not needed. The solution however has two main disadvantages: (1) the CPC is delayed because the SN must wait with CPC until the MN accepts/block CPC; and (2) it limits CHO flexibility, because once the MN accepts CPC, </w:t>
      </w:r>
      <w:proofErr w:type="gramStart"/>
      <w:r>
        <w:t>it</w:t>
      </w:r>
      <w:proofErr w:type="gramEnd"/>
      <w:r>
        <w:t xml:space="preserve"> can’s use CHO until CPC is completed/cancelled. </w:t>
      </w:r>
    </w:p>
    <w:p w14:paraId="18BE0969" w14:textId="5540D258" w:rsidR="002A0A25" w:rsidRPr="002A0A25" w:rsidRDefault="002A0A25" w:rsidP="000E2F25">
      <w:pPr>
        <w:rPr>
          <w:b/>
        </w:rPr>
      </w:pPr>
      <w:r w:rsidRPr="002A0A25">
        <w:rPr>
          <w:b/>
        </w:rPr>
        <w:t>Observation 2-3: SN-initiated request for CPC delays CPC and blocks the MN from using CHO flexibly.</w:t>
      </w:r>
    </w:p>
    <w:p w14:paraId="479871F5" w14:textId="2A7BDEE8" w:rsidR="31B3F727" w:rsidRDefault="31B3F727" w:rsidP="000E2F25">
      <w:r w:rsidRPr="6E08E4C9">
        <w:t xml:space="preserve">Out of these </w:t>
      </w:r>
      <w:r w:rsidR="00C30BD9">
        <w:t>3 solutions, the 1</w:t>
      </w:r>
      <w:r w:rsidR="00C30BD9" w:rsidRPr="00C30BD9">
        <w:rPr>
          <w:vertAlign w:val="superscript"/>
        </w:rPr>
        <w:t>st</w:t>
      </w:r>
      <w:r w:rsidR="00C30BD9">
        <w:t xml:space="preserve"> and 2</w:t>
      </w:r>
      <w:r w:rsidR="00C30BD9" w:rsidRPr="00C30BD9">
        <w:rPr>
          <w:vertAlign w:val="superscript"/>
        </w:rPr>
        <w:t>nd</w:t>
      </w:r>
      <w:r w:rsidR="00C30BD9">
        <w:t xml:space="preserve"> are rather exclusive. Solution 3 does not make much sense with solution 1 either (if the MN has the means to indicate its CPC policy to the SN, it does not make sense to enable also any “request” from the SN – if possible, the MN will allow for CPC on its own). However, it may make sense to have solutions 2 and 3 together: solution 3 would enable the SN to indicate it starts CPC, while CHO indication from the target MN would force it to remove CPC config from the UE. Thus, one of the disadvantages of solution 3 would be mitigated. One may observe though, that plain solution 2 offers the same, while the delay caused by solution 3 is not introduced.</w:t>
      </w:r>
    </w:p>
    <w:p w14:paraId="3187E8F5" w14:textId="5136F274" w:rsidR="00C30BD9" w:rsidRPr="00C30BD9" w:rsidRDefault="00C30BD9" w:rsidP="000E2F25">
      <w:pPr>
        <w:rPr>
          <w:b/>
        </w:rPr>
      </w:pPr>
      <w:r w:rsidRPr="00C30BD9">
        <w:rPr>
          <w:b/>
        </w:rPr>
        <w:t xml:space="preserve">Observation 2-4: Solution 3 </w:t>
      </w:r>
      <w:r>
        <w:rPr>
          <w:b/>
        </w:rPr>
        <w:t xml:space="preserve">(SN-initiated CPC request) </w:t>
      </w:r>
      <w:r w:rsidRPr="00C30BD9">
        <w:rPr>
          <w:b/>
        </w:rPr>
        <w:t>may coexist with solution 2</w:t>
      </w:r>
      <w:r>
        <w:rPr>
          <w:b/>
        </w:rPr>
        <w:t xml:space="preserve"> (information about started CHO from the target MN)</w:t>
      </w:r>
      <w:r w:rsidRPr="00C30BD9">
        <w:rPr>
          <w:b/>
        </w:rPr>
        <w:t>, but brings little, if any, benefits.</w:t>
      </w:r>
      <w:r>
        <w:rPr>
          <w:b/>
        </w:rPr>
        <w:t xml:space="preserve"> Solution 1 (MN-initiated information about CPC policy) is likely the most flexible solution.</w:t>
      </w:r>
    </w:p>
    <w:p w14:paraId="45CA52B8" w14:textId="57DD0C74" w:rsidR="00C30BD9" w:rsidRPr="000E2F25" w:rsidRDefault="00C30BD9" w:rsidP="00C30BD9">
      <w:pPr>
        <w:rPr>
          <w:b/>
        </w:rPr>
      </w:pPr>
      <w:r w:rsidRPr="000E2F25">
        <w:rPr>
          <w:b/>
        </w:rPr>
        <w:t xml:space="preserve">Proposal </w:t>
      </w:r>
      <w:r>
        <w:rPr>
          <w:b/>
        </w:rPr>
        <w:t>2</w:t>
      </w:r>
      <w:r w:rsidRPr="000E2F25">
        <w:rPr>
          <w:b/>
        </w:rPr>
        <w:t xml:space="preserve">: </w:t>
      </w:r>
      <w:r>
        <w:rPr>
          <w:b/>
        </w:rPr>
        <w:t>The solution based on the information from the MN concerning the CPC policy should be implemented.</w:t>
      </w:r>
    </w:p>
    <w:p w14:paraId="28E42E52" w14:textId="77777777" w:rsidR="000F16C4" w:rsidRPr="005F10C3" w:rsidRDefault="00CD2620" w:rsidP="6E08E4C9">
      <w:pPr>
        <w:pStyle w:val="Heading1"/>
      </w:pPr>
      <w:r w:rsidRPr="6E08E4C9">
        <w:t>3</w:t>
      </w:r>
      <w:r w:rsidR="000F16C4" w:rsidRPr="005F10C3">
        <w:tab/>
      </w:r>
      <w:r w:rsidRPr="6E08E4C9">
        <w:t>Conclusions</w:t>
      </w:r>
    </w:p>
    <w:p w14:paraId="56AFFFE2" w14:textId="6AFD7F81" w:rsidR="009F44DA" w:rsidRDefault="500E9D8A" w:rsidP="00056381">
      <w:r w:rsidRPr="00ED2DF0">
        <w:t>In this paper, we've analysed profoundly the situation created by the LS received from RAN2 [1]</w:t>
      </w:r>
      <w:r w:rsidR="00F40BB9">
        <w:t xml:space="preserve"> and the last meeting’s discussion</w:t>
      </w:r>
      <w:r w:rsidRPr="00ED2DF0">
        <w:t xml:space="preserve">. </w:t>
      </w:r>
      <w:r w:rsidR="00056381">
        <w:t>Following observations lead us to the 1</w:t>
      </w:r>
      <w:r w:rsidR="00056381" w:rsidRPr="00056381">
        <w:rPr>
          <w:vertAlign w:val="superscript"/>
        </w:rPr>
        <w:t>st</w:t>
      </w:r>
      <w:r w:rsidR="00056381">
        <w:t xml:space="preserve"> proposal:</w:t>
      </w:r>
    </w:p>
    <w:p w14:paraId="24A55B89" w14:textId="77777777" w:rsidR="009F44DA" w:rsidRPr="009F44DA" w:rsidRDefault="009F44DA" w:rsidP="009F44DA">
      <w:pPr>
        <w:ind w:left="284"/>
        <w:rPr>
          <w:b/>
        </w:rPr>
      </w:pPr>
      <w:r w:rsidRPr="009F44DA">
        <w:rPr>
          <w:b/>
        </w:rPr>
        <w:t>Observation 1-1: OAM-based policy setting is very rigid and does not allow for differentiation of the CHO policy based on the service or mobility profile.</w:t>
      </w:r>
    </w:p>
    <w:p w14:paraId="1A117885" w14:textId="77A25343" w:rsidR="009F44DA" w:rsidRPr="009F44DA" w:rsidRDefault="009F44DA" w:rsidP="009F44DA">
      <w:pPr>
        <w:ind w:left="284"/>
        <w:rPr>
          <w:b/>
        </w:rPr>
      </w:pPr>
      <w:r w:rsidRPr="009F44DA">
        <w:rPr>
          <w:b/>
        </w:rPr>
        <w:t>Observation 1-2: Signalling-based policy setting allows the MN to differentiate the policy depending on the service or mobility profile of each UE, if needed, while the global setting is possible too.</w:t>
      </w:r>
    </w:p>
    <w:p w14:paraId="296127F4" w14:textId="7EB0965C" w:rsidR="009F44DA" w:rsidRPr="009F44DA" w:rsidRDefault="009F44DA" w:rsidP="009F44DA">
      <w:pPr>
        <w:ind w:left="284"/>
        <w:rPr>
          <w:b/>
        </w:rPr>
      </w:pPr>
      <w:r w:rsidRPr="009F44DA">
        <w:rPr>
          <w:b/>
        </w:rPr>
        <w:lastRenderedPageBreak/>
        <w:t>Proposal 1: RAN3 shall work on signalling-based methods to avoid parallel configuration of CHO and CPC.</w:t>
      </w:r>
    </w:p>
    <w:p w14:paraId="74DA8B58" w14:textId="358E1F7E" w:rsidR="500E9D8A" w:rsidRDefault="009F44DA" w:rsidP="009F44DA">
      <w:r>
        <w:t>Based on the above, we’ve analysed possible signalling-based solution and that allowed us to make the final proposal:</w:t>
      </w:r>
    </w:p>
    <w:p w14:paraId="417CCCB3" w14:textId="77777777" w:rsidR="009F44DA" w:rsidRPr="009F44DA" w:rsidRDefault="009F44DA" w:rsidP="009F44DA">
      <w:pPr>
        <w:ind w:left="284"/>
        <w:rPr>
          <w:b/>
        </w:rPr>
      </w:pPr>
      <w:r w:rsidRPr="009F44DA">
        <w:rPr>
          <w:b/>
        </w:rPr>
        <w:t>Observation 2-1: Information from the MN about the current policy (CPC allowed or not allowed) enables both, static limitation (like with OAM) or, if desired so, more dynamic blocking of CPC when CHO is about to be started.</w:t>
      </w:r>
    </w:p>
    <w:p w14:paraId="6BC5CFC2" w14:textId="77777777" w:rsidR="009F44DA" w:rsidRPr="009F44DA" w:rsidRDefault="009F44DA" w:rsidP="009F44DA">
      <w:pPr>
        <w:ind w:left="284"/>
        <w:rPr>
          <w:b/>
        </w:rPr>
      </w:pPr>
      <w:r w:rsidRPr="009F44DA">
        <w:rPr>
          <w:b/>
        </w:rPr>
        <w:t>Observation 2-2: Information from the target MN that CHO has just been configured for the UE allows for flexible and fast indication (no extra signalling needed!).</w:t>
      </w:r>
    </w:p>
    <w:p w14:paraId="1EC0326D" w14:textId="77777777" w:rsidR="009F44DA" w:rsidRPr="009F44DA" w:rsidRDefault="009F44DA" w:rsidP="009F44DA">
      <w:pPr>
        <w:ind w:left="284"/>
        <w:rPr>
          <w:b/>
        </w:rPr>
      </w:pPr>
      <w:r w:rsidRPr="009F44DA">
        <w:rPr>
          <w:b/>
        </w:rPr>
        <w:t>Observation 2-3: SN-initiated request for CPC delays CPC and blocks the MN from using CHO flexibly.</w:t>
      </w:r>
    </w:p>
    <w:p w14:paraId="4E5B3745" w14:textId="77777777" w:rsidR="009F44DA" w:rsidRPr="009F44DA" w:rsidRDefault="009F44DA" w:rsidP="009F44DA">
      <w:pPr>
        <w:ind w:left="284"/>
        <w:rPr>
          <w:b/>
        </w:rPr>
      </w:pPr>
      <w:r w:rsidRPr="009F44DA">
        <w:rPr>
          <w:b/>
        </w:rPr>
        <w:t>Observation 2-4: Solution 3 (SN-initiated CPC request) may coexist with solution 2 (information about started CHO from the target MN), but brings little, if any, benefits. Solution 1 (MN-initiated information about CPC policy) is likely the most flexible solution.</w:t>
      </w:r>
    </w:p>
    <w:p w14:paraId="285AF9D2" w14:textId="1C642A56" w:rsidR="009F44DA" w:rsidRPr="009F44DA" w:rsidRDefault="009F44DA" w:rsidP="009F44DA">
      <w:pPr>
        <w:ind w:left="284"/>
        <w:rPr>
          <w:b/>
        </w:rPr>
      </w:pPr>
      <w:r w:rsidRPr="009F44DA">
        <w:rPr>
          <w:b/>
        </w:rPr>
        <w:t>Proposal 2: The solution based on the information from the MN concerning the CPC policy should be implemented.</w:t>
      </w:r>
    </w:p>
    <w:p w14:paraId="36F4D91C" w14:textId="5A4E8CB7" w:rsidR="500E9D8A" w:rsidRPr="00ED2DF0" w:rsidRDefault="500E9D8A" w:rsidP="00056381">
      <w:pPr>
        <w:rPr>
          <w:sz w:val="18"/>
          <w:szCs w:val="18"/>
        </w:rPr>
      </w:pPr>
      <w:r w:rsidRPr="00ED2DF0">
        <w:t xml:space="preserve">The above </w:t>
      </w:r>
      <w:r w:rsidR="009F44DA">
        <w:t>conclusions</w:t>
      </w:r>
      <w:r w:rsidRPr="00ED2DF0">
        <w:t xml:space="preserve"> are implemented in the two attached TPs, for </w:t>
      </w:r>
      <w:proofErr w:type="spellStart"/>
      <w:r w:rsidRPr="00ED2DF0">
        <w:t>XnAP</w:t>
      </w:r>
      <w:proofErr w:type="spellEnd"/>
      <w:r w:rsidRPr="00ED2DF0">
        <w:t xml:space="preserve"> BL CR [2] and for the X2AP BL CR [3].</w:t>
      </w:r>
      <w:r w:rsidR="000F68F3">
        <w:t xml:space="preserve"> A response is not strictly needed, but advisable for clarity reasons. A draft of the LS is proposed in [4].</w:t>
      </w:r>
    </w:p>
    <w:p w14:paraId="483F8717" w14:textId="77777777" w:rsidR="00403B9B" w:rsidRPr="006E13D1" w:rsidRDefault="00403B9B" w:rsidP="6E08E4C9">
      <w:pPr>
        <w:pStyle w:val="Heading1"/>
      </w:pPr>
      <w:r w:rsidRPr="6E08E4C9">
        <w:t>References</w:t>
      </w:r>
    </w:p>
    <w:p w14:paraId="2AF1DCFA" w14:textId="4720AF10" w:rsidR="006A43F7" w:rsidRPr="00A15228" w:rsidRDefault="5A4EEB6D" w:rsidP="008A3464">
      <w:pPr>
        <w:numPr>
          <w:ilvl w:val="0"/>
          <w:numId w:val="4"/>
        </w:numPr>
        <w:overflowPunct w:val="0"/>
        <w:autoSpaceDE w:val="0"/>
        <w:autoSpaceDN w:val="0"/>
        <w:adjustRightInd w:val="0"/>
        <w:textAlignment w:val="baseline"/>
        <w:rPr>
          <w:lang w:val="fi-FI"/>
        </w:rPr>
      </w:pPr>
      <w:r w:rsidRPr="6E08E4C9">
        <w:t>R2-2001764, RAN2 #109-e</w:t>
      </w:r>
    </w:p>
    <w:p w14:paraId="19AC4EAB" w14:textId="2E15D358" w:rsidR="2C729746" w:rsidRDefault="2C729746" w:rsidP="6E08E4C9">
      <w:pPr>
        <w:numPr>
          <w:ilvl w:val="0"/>
          <w:numId w:val="4"/>
        </w:numPr>
      </w:pPr>
      <w:r w:rsidRPr="6E08E4C9">
        <w:t>R3-20</w:t>
      </w:r>
      <w:r w:rsidR="00CF304A">
        <w:t>3271</w:t>
      </w:r>
      <w:r w:rsidRPr="6E08E4C9">
        <w:t>, RAN3 #10</w:t>
      </w:r>
      <w:r w:rsidR="009F44DA">
        <w:t>8</w:t>
      </w:r>
      <w:r w:rsidRPr="6E08E4C9">
        <w:t>-e</w:t>
      </w:r>
    </w:p>
    <w:p w14:paraId="6C535BE1" w14:textId="46DAB208" w:rsidR="2C729746" w:rsidRDefault="2C729746" w:rsidP="6E08E4C9">
      <w:pPr>
        <w:numPr>
          <w:ilvl w:val="0"/>
          <w:numId w:val="4"/>
        </w:numPr>
      </w:pPr>
      <w:r w:rsidRPr="6E08E4C9">
        <w:t>R3-20</w:t>
      </w:r>
      <w:r w:rsidR="00CF304A">
        <w:t>3272</w:t>
      </w:r>
      <w:r w:rsidRPr="6E08E4C9">
        <w:t>, RAN3 #10</w:t>
      </w:r>
      <w:r w:rsidR="009F44DA">
        <w:t>8</w:t>
      </w:r>
      <w:r w:rsidRPr="6E08E4C9">
        <w:t>-e</w:t>
      </w:r>
    </w:p>
    <w:p w14:paraId="52193BBB" w14:textId="738CB7F8" w:rsidR="000F68F3" w:rsidRDefault="000F68F3" w:rsidP="000F68F3">
      <w:pPr>
        <w:numPr>
          <w:ilvl w:val="0"/>
          <w:numId w:val="4"/>
        </w:numPr>
      </w:pPr>
      <w:r w:rsidRPr="6E08E4C9">
        <w:t>R3-20</w:t>
      </w:r>
      <w:r w:rsidR="00CF304A">
        <w:t>3273</w:t>
      </w:r>
      <w:r w:rsidRPr="6E08E4C9">
        <w:t>, RAN3 #10</w:t>
      </w:r>
      <w:r w:rsidR="009F44DA">
        <w:t>8</w:t>
      </w:r>
      <w:r w:rsidRPr="6E08E4C9">
        <w:t>-e</w:t>
      </w:r>
    </w:p>
    <w:p w14:paraId="01293442" w14:textId="77777777" w:rsidR="0022219E" w:rsidRPr="00A15228" w:rsidRDefault="0022219E" w:rsidP="6E08E4C9">
      <w:pPr>
        <w:overflowPunct w:val="0"/>
        <w:autoSpaceDE w:val="0"/>
        <w:autoSpaceDN w:val="0"/>
        <w:adjustRightInd w:val="0"/>
        <w:textAlignment w:val="baseline"/>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BC3E5" w14:textId="77777777" w:rsidR="00930CB0" w:rsidRDefault="00930CB0">
      <w:r>
        <w:separator/>
      </w:r>
    </w:p>
  </w:endnote>
  <w:endnote w:type="continuationSeparator" w:id="0">
    <w:p w14:paraId="658573DC" w14:textId="77777777" w:rsidR="00930CB0" w:rsidRDefault="00930CB0">
      <w:r>
        <w:continuationSeparator/>
      </w:r>
    </w:p>
  </w:endnote>
  <w:endnote w:type="continuationNotice" w:id="1">
    <w:p w14:paraId="51ED7237" w14:textId="77777777" w:rsidR="00930CB0" w:rsidRDefault="0093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3DC93" w14:textId="77777777" w:rsidR="00930CB0" w:rsidRDefault="00930CB0">
      <w:r>
        <w:separator/>
      </w:r>
    </w:p>
  </w:footnote>
  <w:footnote w:type="continuationSeparator" w:id="0">
    <w:p w14:paraId="51D1BA9C" w14:textId="77777777" w:rsidR="00930CB0" w:rsidRDefault="00930CB0">
      <w:r>
        <w:continuationSeparator/>
      </w:r>
    </w:p>
  </w:footnote>
  <w:footnote w:type="continuationNotice" w:id="1">
    <w:p w14:paraId="33C299AA" w14:textId="77777777" w:rsidR="00930CB0" w:rsidRDefault="00930C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154C31"/>
    <w:multiLevelType w:val="hybridMultilevel"/>
    <w:tmpl w:val="8C229C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D0113A2"/>
    <w:multiLevelType w:val="hybridMultilevel"/>
    <w:tmpl w:val="B06004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D467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16"/>
  </w:num>
  <w:num w:numId="4">
    <w:abstractNumId w:val="9"/>
  </w:num>
  <w:num w:numId="5">
    <w:abstractNumId w:val="10"/>
  </w:num>
  <w:num w:numId="6">
    <w:abstractNumId w:val="39"/>
  </w:num>
  <w:num w:numId="7">
    <w:abstractNumId w:val="27"/>
  </w:num>
  <w:num w:numId="8">
    <w:abstractNumId w:val="17"/>
  </w:num>
  <w:num w:numId="9">
    <w:abstractNumId w:val="38"/>
  </w:num>
  <w:num w:numId="10">
    <w:abstractNumId w:val="26"/>
  </w:num>
  <w:num w:numId="11">
    <w:abstractNumId w:val="15"/>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9"/>
  </w:num>
  <w:num w:numId="26">
    <w:abstractNumId w:val="18"/>
  </w:num>
  <w:num w:numId="27">
    <w:abstractNumId w:val="22"/>
  </w:num>
  <w:num w:numId="28">
    <w:abstractNumId w:val="36"/>
  </w:num>
  <w:num w:numId="29">
    <w:abstractNumId w:val="37"/>
  </w:num>
  <w:num w:numId="30">
    <w:abstractNumId w:val="28"/>
  </w:num>
  <w:num w:numId="31">
    <w:abstractNumId w:val="25"/>
  </w:num>
  <w:num w:numId="32">
    <w:abstractNumId w:val="19"/>
  </w:num>
  <w:num w:numId="33">
    <w:abstractNumId w:val="30"/>
  </w:num>
  <w:num w:numId="34">
    <w:abstractNumId w:val="14"/>
  </w:num>
  <w:num w:numId="35">
    <w:abstractNumId w:val="12"/>
  </w:num>
  <w:num w:numId="36">
    <w:abstractNumId w:val="35"/>
  </w:num>
  <w:num w:numId="37">
    <w:abstractNumId w:val="24"/>
  </w:num>
  <w:num w:numId="38">
    <w:abstractNumId w:val="23"/>
  </w:num>
  <w:num w:numId="39">
    <w:abstractNumId w:val="11"/>
  </w:num>
  <w:num w:numId="4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BD6"/>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381"/>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2F25"/>
    <w:rsid w:val="000E3312"/>
    <w:rsid w:val="000E5662"/>
    <w:rsid w:val="000E5B70"/>
    <w:rsid w:val="000E72CB"/>
    <w:rsid w:val="000E7E52"/>
    <w:rsid w:val="000F16C4"/>
    <w:rsid w:val="000F4440"/>
    <w:rsid w:val="000F4EBF"/>
    <w:rsid w:val="000F551E"/>
    <w:rsid w:val="000F68F3"/>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D66"/>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825"/>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A25"/>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6A6"/>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B7A14"/>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4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3D6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1C0"/>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58C2"/>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464"/>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C93"/>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3C3C"/>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0CB0"/>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4DA"/>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943"/>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85A6B"/>
    <w:rsid w:val="00B92E27"/>
    <w:rsid w:val="00B931D0"/>
    <w:rsid w:val="00B94EC5"/>
    <w:rsid w:val="00B95C0E"/>
    <w:rsid w:val="00BA0F1F"/>
    <w:rsid w:val="00BA2519"/>
    <w:rsid w:val="00BA4DBE"/>
    <w:rsid w:val="00BA663C"/>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BD9"/>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B6D6F"/>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304A"/>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3642"/>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00D"/>
    <w:rsid w:val="00E758E2"/>
    <w:rsid w:val="00E77645"/>
    <w:rsid w:val="00E80B0B"/>
    <w:rsid w:val="00E8330F"/>
    <w:rsid w:val="00E838AA"/>
    <w:rsid w:val="00E8630C"/>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F0"/>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2C75"/>
    <w:rsid w:val="00F03003"/>
    <w:rsid w:val="00F03C5A"/>
    <w:rsid w:val="00F0430E"/>
    <w:rsid w:val="00F076C8"/>
    <w:rsid w:val="00F127B7"/>
    <w:rsid w:val="00F13D6C"/>
    <w:rsid w:val="00F16632"/>
    <w:rsid w:val="00F17F82"/>
    <w:rsid w:val="00F2026E"/>
    <w:rsid w:val="00F21092"/>
    <w:rsid w:val="00F21F3E"/>
    <w:rsid w:val="00F2210A"/>
    <w:rsid w:val="00F22463"/>
    <w:rsid w:val="00F23E13"/>
    <w:rsid w:val="00F24153"/>
    <w:rsid w:val="00F31A73"/>
    <w:rsid w:val="00F37743"/>
    <w:rsid w:val="00F402FC"/>
    <w:rsid w:val="00F40BB9"/>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C6C"/>
    <w:rsid w:val="00FE7EAE"/>
    <w:rsid w:val="00FF158F"/>
    <w:rsid w:val="00FF1FB9"/>
    <w:rsid w:val="00FF327F"/>
    <w:rsid w:val="00FF3B5E"/>
    <w:rsid w:val="00FF3CA9"/>
    <w:rsid w:val="00FF3CF1"/>
    <w:rsid w:val="00FF40A9"/>
    <w:rsid w:val="00FF46A4"/>
    <w:rsid w:val="00FF4C45"/>
    <w:rsid w:val="00FF5009"/>
    <w:rsid w:val="00FF72B8"/>
    <w:rsid w:val="012ACD5C"/>
    <w:rsid w:val="0156BE86"/>
    <w:rsid w:val="02FA95A4"/>
    <w:rsid w:val="03D93D1E"/>
    <w:rsid w:val="041ED9CA"/>
    <w:rsid w:val="04600738"/>
    <w:rsid w:val="047BD2EF"/>
    <w:rsid w:val="04A028BE"/>
    <w:rsid w:val="058E8B7D"/>
    <w:rsid w:val="0634BF71"/>
    <w:rsid w:val="06E7D0C6"/>
    <w:rsid w:val="0728925A"/>
    <w:rsid w:val="07E37CCE"/>
    <w:rsid w:val="08C658BA"/>
    <w:rsid w:val="09C877D7"/>
    <w:rsid w:val="0A6CAF3C"/>
    <w:rsid w:val="0C707951"/>
    <w:rsid w:val="0C8B0117"/>
    <w:rsid w:val="0C9FB6B0"/>
    <w:rsid w:val="0DBF0D2A"/>
    <w:rsid w:val="0DCB662F"/>
    <w:rsid w:val="0E4D103D"/>
    <w:rsid w:val="0E7D0109"/>
    <w:rsid w:val="0EA1C778"/>
    <w:rsid w:val="0F665B03"/>
    <w:rsid w:val="10325869"/>
    <w:rsid w:val="1324289F"/>
    <w:rsid w:val="165E8DF1"/>
    <w:rsid w:val="18317A3E"/>
    <w:rsid w:val="186B9593"/>
    <w:rsid w:val="186BAA8A"/>
    <w:rsid w:val="18988234"/>
    <w:rsid w:val="18E984A5"/>
    <w:rsid w:val="19A12BEF"/>
    <w:rsid w:val="1A122197"/>
    <w:rsid w:val="1B556440"/>
    <w:rsid w:val="1B95A526"/>
    <w:rsid w:val="1C12670E"/>
    <w:rsid w:val="1C62AB02"/>
    <w:rsid w:val="1CB55E15"/>
    <w:rsid w:val="1CC77AF3"/>
    <w:rsid w:val="1CF67311"/>
    <w:rsid w:val="1D51D527"/>
    <w:rsid w:val="1DE887B4"/>
    <w:rsid w:val="1E1A08DF"/>
    <w:rsid w:val="1F63269F"/>
    <w:rsid w:val="1FD8F03A"/>
    <w:rsid w:val="1FEE8A3E"/>
    <w:rsid w:val="2124C759"/>
    <w:rsid w:val="2145885A"/>
    <w:rsid w:val="21A9715C"/>
    <w:rsid w:val="21E8D06E"/>
    <w:rsid w:val="221EA0F0"/>
    <w:rsid w:val="234A1905"/>
    <w:rsid w:val="23BBCCCD"/>
    <w:rsid w:val="2490184D"/>
    <w:rsid w:val="265644A5"/>
    <w:rsid w:val="27101B9A"/>
    <w:rsid w:val="2728E164"/>
    <w:rsid w:val="27E38AD1"/>
    <w:rsid w:val="287B55AA"/>
    <w:rsid w:val="28B4CEDB"/>
    <w:rsid w:val="28D2467F"/>
    <w:rsid w:val="28DC8EDE"/>
    <w:rsid w:val="296D6D72"/>
    <w:rsid w:val="2A146208"/>
    <w:rsid w:val="2AD450CC"/>
    <w:rsid w:val="2C729746"/>
    <w:rsid w:val="2D923933"/>
    <w:rsid w:val="2E17BF60"/>
    <w:rsid w:val="2E7BF0E6"/>
    <w:rsid w:val="2EF0B885"/>
    <w:rsid w:val="2F0681ED"/>
    <w:rsid w:val="308DB346"/>
    <w:rsid w:val="30C3ADBE"/>
    <w:rsid w:val="30D487A4"/>
    <w:rsid w:val="3193A5D1"/>
    <w:rsid w:val="3195C4BE"/>
    <w:rsid w:val="31B3F727"/>
    <w:rsid w:val="31F100A6"/>
    <w:rsid w:val="3289405E"/>
    <w:rsid w:val="32AC0EBB"/>
    <w:rsid w:val="32E888C4"/>
    <w:rsid w:val="335EBD28"/>
    <w:rsid w:val="3436CFA3"/>
    <w:rsid w:val="34569585"/>
    <w:rsid w:val="3499C4C8"/>
    <w:rsid w:val="35AD433B"/>
    <w:rsid w:val="36C66341"/>
    <w:rsid w:val="36FA7673"/>
    <w:rsid w:val="37264389"/>
    <w:rsid w:val="379046A7"/>
    <w:rsid w:val="381875DB"/>
    <w:rsid w:val="382D3EF6"/>
    <w:rsid w:val="389888FA"/>
    <w:rsid w:val="3999F278"/>
    <w:rsid w:val="3ABD860F"/>
    <w:rsid w:val="3B1C0D7D"/>
    <w:rsid w:val="3B404EAB"/>
    <w:rsid w:val="3B60F0FB"/>
    <w:rsid w:val="3BA392E3"/>
    <w:rsid w:val="3BACBE0E"/>
    <w:rsid w:val="3BBF148A"/>
    <w:rsid w:val="3BC44DBC"/>
    <w:rsid w:val="3D8468DF"/>
    <w:rsid w:val="3DE8F336"/>
    <w:rsid w:val="3F0F98EA"/>
    <w:rsid w:val="3FA0F41E"/>
    <w:rsid w:val="3FB33A68"/>
    <w:rsid w:val="400A98BB"/>
    <w:rsid w:val="4058A1F0"/>
    <w:rsid w:val="4113878F"/>
    <w:rsid w:val="42430CE4"/>
    <w:rsid w:val="49D48655"/>
    <w:rsid w:val="4A151596"/>
    <w:rsid w:val="4A2270FA"/>
    <w:rsid w:val="4A6B7769"/>
    <w:rsid w:val="4AE96682"/>
    <w:rsid w:val="4B2756DA"/>
    <w:rsid w:val="4B2B10C4"/>
    <w:rsid w:val="4B97838A"/>
    <w:rsid w:val="4CB38E06"/>
    <w:rsid w:val="4DFA2E82"/>
    <w:rsid w:val="4E6133C1"/>
    <w:rsid w:val="4E77CA90"/>
    <w:rsid w:val="4E7EBCD1"/>
    <w:rsid w:val="4EB4C8D8"/>
    <w:rsid w:val="4EF258A6"/>
    <w:rsid w:val="4F2992A2"/>
    <w:rsid w:val="4FBE7630"/>
    <w:rsid w:val="500E9D8A"/>
    <w:rsid w:val="50ABD296"/>
    <w:rsid w:val="50ECF700"/>
    <w:rsid w:val="51B65718"/>
    <w:rsid w:val="530F286F"/>
    <w:rsid w:val="536C7B6D"/>
    <w:rsid w:val="53E8EE69"/>
    <w:rsid w:val="5569FFCB"/>
    <w:rsid w:val="5630D254"/>
    <w:rsid w:val="565B2C31"/>
    <w:rsid w:val="5843955C"/>
    <w:rsid w:val="58A068C1"/>
    <w:rsid w:val="59C4DE7F"/>
    <w:rsid w:val="5A4EEB6D"/>
    <w:rsid w:val="5A866565"/>
    <w:rsid w:val="5B9D3363"/>
    <w:rsid w:val="5C7B5CB5"/>
    <w:rsid w:val="5D92CA84"/>
    <w:rsid w:val="5DA2BB1F"/>
    <w:rsid w:val="5DCA9CA7"/>
    <w:rsid w:val="5E8DCFD3"/>
    <w:rsid w:val="5EA4A640"/>
    <w:rsid w:val="5F0EF293"/>
    <w:rsid w:val="5FD990CC"/>
    <w:rsid w:val="60387A3F"/>
    <w:rsid w:val="604E4666"/>
    <w:rsid w:val="609A464A"/>
    <w:rsid w:val="610F3AD3"/>
    <w:rsid w:val="61DF73E8"/>
    <w:rsid w:val="623E4F3A"/>
    <w:rsid w:val="62717DC8"/>
    <w:rsid w:val="62770373"/>
    <w:rsid w:val="629B5247"/>
    <w:rsid w:val="63BA6ACF"/>
    <w:rsid w:val="63C12AF6"/>
    <w:rsid w:val="63DD605C"/>
    <w:rsid w:val="644D06A8"/>
    <w:rsid w:val="64859E48"/>
    <w:rsid w:val="652E0E45"/>
    <w:rsid w:val="663BBCD5"/>
    <w:rsid w:val="6697283B"/>
    <w:rsid w:val="6712E9E7"/>
    <w:rsid w:val="67784E96"/>
    <w:rsid w:val="67CFF9AB"/>
    <w:rsid w:val="681DB967"/>
    <w:rsid w:val="685A5D43"/>
    <w:rsid w:val="68B8006E"/>
    <w:rsid w:val="69867C2C"/>
    <w:rsid w:val="6AFDD5F5"/>
    <w:rsid w:val="6B3EC268"/>
    <w:rsid w:val="6B61E02C"/>
    <w:rsid w:val="6B9C048C"/>
    <w:rsid w:val="6BE24909"/>
    <w:rsid w:val="6CB22819"/>
    <w:rsid w:val="6D184F7F"/>
    <w:rsid w:val="6D48EF01"/>
    <w:rsid w:val="6D74EE8F"/>
    <w:rsid w:val="6D931B2E"/>
    <w:rsid w:val="6E08E4C9"/>
    <w:rsid w:val="6E14FD39"/>
    <w:rsid w:val="6E81DD73"/>
    <w:rsid w:val="6F055D95"/>
    <w:rsid w:val="6F6C5478"/>
    <w:rsid w:val="6FBBADA8"/>
    <w:rsid w:val="70C5E69D"/>
    <w:rsid w:val="71F80C76"/>
    <w:rsid w:val="7260D368"/>
    <w:rsid w:val="7267D840"/>
    <w:rsid w:val="72B3FD02"/>
    <w:rsid w:val="741896E7"/>
    <w:rsid w:val="74224C38"/>
    <w:rsid w:val="74251D74"/>
    <w:rsid w:val="75505C48"/>
    <w:rsid w:val="755DFBDA"/>
    <w:rsid w:val="75BD0CAD"/>
    <w:rsid w:val="76D7DA94"/>
    <w:rsid w:val="771CF246"/>
    <w:rsid w:val="7894B96F"/>
    <w:rsid w:val="78DC24C4"/>
    <w:rsid w:val="79200BC7"/>
    <w:rsid w:val="7961E4F1"/>
    <w:rsid w:val="7A5A5067"/>
    <w:rsid w:val="7A93CF4D"/>
    <w:rsid w:val="7B2605BF"/>
    <w:rsid w:val="7B8C0EAD"/>
    <w:rsid w:val="7B95478A"/>
    <w:rsid w:val="7BE6B843"/>
    <w:rsid w:val="7C35B5CA"/>
    <w:rsid w:val="7C8CD4FA"/>
    <w:rsid w:val="7CCEC73D"/>
    <w:rsid w:val="7E428FC7"/>
    <w:rsid w:val="7E9B97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BD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C676F55-1EBF-49BB-9F36-A0231EE7E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3</Pages>
  <Words>1163</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Avoiding simultaneous CHO and CPC</vt:lpstr>
    </vt:vector>
  </TitlesOfParts>
  <Company>Nokia, Nokia Shanghai Bell</Company>
  <LinksUpToDate>false</LinksUpToDate>
  <CharactersWithSpaces>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simultaneous CHO and CPC</dc:title>
  <dc:subject>3GPP RAN3 #108-e</dc:subject>
  <dc:creator>Benoist Sébire</dc:creator>
  <cp:keywords>&lt;keyword[, keyword, ]&gt;</cp:keywords>
  <dc:description/>
  <cp:lastModifiedBy>Nokia-1</cp:lastModifiedBy>
  <cp:revision>41</cp:revision>
  <cp:lastPrinted>2019-03-27T07:16:00Z</cp:lastPrinted>
  <dcterms:created xsi:type="dcterms:W3CDTF">2019-10-03T12:07:00Z</dcterms:created>
  <dcterms:modified xsi:type="dcterms:W3CDTF">2020-05-21T08:27:00Z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